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99EE" w14:textId="77777777" w:rsidR="002D69E5" w:rsidRDefault="008A03FC" w:rsidP="002D69E5">
      <w:pPr>
        <w:jc w:val="center"/>
        <w:rPr>
          <w:b/>
          <w:bCs/>
          <w:u w:val="single"/>
        </w:rPr>
      </w:pPr>
      <w:r w:rsidRPr="002D69E5">
        <w:rPr>
          <w:b/>
          <w:bCs/>
          <w:u w:val="single"/>
        </w:rPr>
        <w:t xml:space="preserve">Le Marché obligataire Américain. </w:t>
      </w:r>
    </w:p>
    <w:p w14:paraId="35431F78" w14:textId="621BEB31" w:rsidR="00033386" w:rsidRPr="002D69E5" w:rsidRDefault="008A03FC" w:rsidP="002D69E5">
      <w:pPr>
        <w:jc w:val="center"/>
        <w:rPr>
          <w:b/>
          <w:bCs/>
          <w:u w:val="single"/>
        </w:rPr>
      </w:pPr>
      <w:r w:rsidRPr="002D69E5">
        <w:rPr>
          <w:b/>
          <w:bCs/>
          <w:u w:val="single"/>
        </w:rPr>
        <w:t>Revue graphique</w:t>
      </w:r>
    </w:p>
    <w:p w14:paraId="281446AB" w14:textId="6A385BB6" w:rsidR="008A03FC" w:rsidRDefault="00390044">
      <w:r>
        <w:object w:dxaOrig="9961" w:dyaOrig="7461" w14:anchorId="06557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pt;height:226pt" o:ole="">
            <v:imagedata r:id="rId5" o:title=""/>
          </v:shape>
          <o:OLEObject Type="Embed" ProgID="Mbnd.mbnd" ShapeID="_x0000_i1025" DrawAspect="Content" ObjectID="_1826021470" r:id="rId6"/>
        </w:object>
      </w:r>
    </w:p>
    <w:p w14:paraId="6CE3F6AA" w14:textId="736B162B" w:rsidR="00390044" w:rsidRDefault="00390044">
      <w:r>
        <w:t xml:space="preserve">Depuis 1880, deux marchés baissiers 1917 </w:t>
      </w:r>
      <w:r>
        <w:t>à</w:t>
      </w:r>
      <w:r>
        <w:t xml:space="preserve"> 1922 (5 ans) et de 1955 à 1985 (trente ans). Le marché baissier actuel a commencé il y a deux ans et demi… </w:t>
      </w:r>
    </w:p>
    <w:p w14:paraId="70012E65" w14:textId="517AE738" w:rsidR="00CD04F6" w:rsidRDefault="000D0D9C">
      <w:r>
        <w:object w:dxaOrig="9961" w:dyaOrig="7252" w14:anchorId="4769D469">
          <v:shape id="_x0000_i1050" type="#_x0000_t75" style="width:467.8pt;height:254.7pt" o:ole="">
            <v:imagedata r:id="rId7" o:title=""/>
          </v:shape>
          <o:OLEObject Type="Embed" ProgID="Mbnd.mbnd" ShapeID="_x0000_i1050" DrawAspect="Content" ObjectID="_1826021471" r:id="rId8"/>
        </w:object>
      </w:r>
    </w:p>
    <w:p w14:paraId="55E9A65D" w14:textId="658A5979" w:rsidR="00390044" w:rsidRDefault="00390044">
      <w:r>
        <w:t xml:space="preserve">En termes réels , nous avons eu quatre marchés baissiers. c’est la même chose, </w:t>
      </w:r>
      <w:r w:rsidR="007169DA">
        <w:t>et tous ont été plus longs que celui qui a commencé en novembre 2022.</w:t>
      </w:r>
    </w:p>
    <w:p w14:paraId="19FA9CE0" w14:textId="0F635003" w:rsidR="00CD04F6" w:rsidRDefault="00CD04F6"/>
    <w:p w14:paraId="43455BB7" w14:textId="77777777" w:rsidR="00CD04F6" w:rsidRDefault="00CD04F6"/>
    <w:p w14:paraId="5CB3C89E" w14:textId="004659D3" w:rsidR="00CD04F6" w:rsidRDefault="007169DA">
      <w:r>
        <w:object w:dxaOrig="9961" w:dyaOrig="7461" w14:anchorId="5F29E2F1">
          <v:shape id="_x0000_i1027" type="#_x0000_t75" style="width:467.8pt;height:231.8pt" o:ole="">
            <v:imagedata r:id="rId9" o:title=""/>
          </v:shape>
          <o:OLEObject Type="Embed" ProgID="Mbnd.mbnd" ShapeID="_x0000_i1027" DrawAspect="Content" ObjectID="_1826021472" r:id="rId10"/>
        </w:object>
      </w:r>
    </w:p>
    <w:p w14:paraId="6B2BC937" w14:textId="7E5B5BDE" w:rsidR="00A4595A" w:rsidRDefault="007169DA">
      <w:r>
        <w:t>Si je mesure le portefeuille obligataire en dé flattant par le prix de l’argent métal, une autre réalité apparait. Depuis 1934, nous n’av</w:t>
      </w:r>
      <w:r w:rsidRPr="007169DA">
        <w:t xml:space="preserve"> </w:t>
      </w:r>
      <w:r>
        <w:t>à</w:t>
      </w:r>
      <w:r>
        <w:t xml:space="preserve"> ons eu que trois marchés haussiers pour les obligations 2/1936 </w:t>
      </w:r>
      <w:r>
        <w:t>à</w:t>
      </w:r>
      <w:r>
        <w:t xml:space="preserve"> 10/1946. 9/1979  </w:t>
      </w:r>
      <w:r>
        <w:t>à</w:t>
      </w:r>
      <w:r>
        <w:t xml:space="preserve"> 8/2003 et 6/2011 </w:t>
      </w:r>
      <w:r>
        <w:t>à</w:t>
      </w:r>
      <w:r>
        <w:t xml:space="preserve"> /2020. Nous sommes certainement dans un marchee baissier et si nous cassons 40 (ligne rouge) , tous aux abris.</w:t>
      </w:r>
    </w:p>
    <w:p w14:paraId="338167C1" w14:textId="65E6A4FA" w:rsidR="004E3070" w:rsidRDefault="007169DA">
      <w:r>
        <w:object w:dxaOrig="10500" w:dyaOrig="7461" w14:anchorId="45F1E235">
          <v:shape id="_x0000_i1028" type="#_x0000_t75" style="width:467.8pt;height:221pt" o:ole="">
            <v:imagedata r:id="rId11" o:title=""/>
          </v:shape>
          <o:OLEObject Type="Embed" ProgID="Mbnd.mbnd" ShapeID="_x0000_i1028" DrawAspect="Content" ObjectID="_1826021473" r:id="rId12"/>
        </w:object>
      </w:r>
    </w:p>
    <w:p w14:paraId="19A31721" w14:textId="29AE5EC1" w:rsidR="007169DA" w:rsidRDefault="007169DA">
      <w:r>
        <w:t xml:space="preserve">Un prix de l’énergie très bas est ce qui permet au marché obligataire de ne pas s’effondrer. </w:t>
      </w:r>
    </w:p>
    <w:p w14:paraId="336DF1AC" w14:textId="77777777" w:rsidR="007169DA" w:rsidRDefault="007169DA"/>
    <w:p w14:paraId="08E1F288" w14:textId="60FC15DC" w:rsidR="00A4595A" w:rsidRDefault="007169DA">
      <w:r>
        <w:lastRenderedPageBreak/>
        <w:t xml:space="preserve">Mais la dette continue à augmenter. Le service de la dette explose et devient supérieur aux dépenses militaires </w:t>
      </w:r>
    </w:p>
    <w:p w14:paraId="36C8CF70" w14:textId="281F5C53" w:rsidR="00A4595A" w:rsidRDefault="00A4595A">
      <w:r>
        <w:object w:dxaOrig="9961" w:dyaOrig="7461" w14:anchorId="3F9D6DCC">
          <v:shape id="_x0000_i1029" type="#_x0000_t75" style="width:502.35pt;height:268.45pt" o:ole="">
            <v:imagedata r:id="rId13" o:title=""/>
          </v:shape>
          <o:OLEObject Type="Embed" ProgID="Mbnd.mbnd" ShapeID="_x0000_i1029" DrawAspect="Content" ObjectID="_1826021474" r:id="rId14"/>
        </w:object>
      </w:r>
    </w:p>
    <w:p w14:paraId="370594B3" w14:textId="7C6A0040" w:rsidR="007169DA" w:rsidRDefault="007169DA">
      <w:r>
        <w:t xml:space="preserve">Et ce service de la dette va continuer a augmenter dans le futur prévisible. </w:t>
      </w:r>
    </w:p>
    <w:p w14:paraId="632743E6" w14:textId="378D99AA" w:rsidR="00A4595A" w:rsidRDefault="00A4595A">
      <w:r>
        <w:object w:dxaOrig="10501" w:dyaOrig="7252" w14:anchorId="2671EEA2">
          <v:shape id="_x0000_i1030" type="#_x0000_t75" style="width:467.8pt;height:270.1pt" o:ole="">
            <v:imagedata r:id="rId15" o:title=""/>
          </v:shape>
          <o:OLEObject Type="Embed" ProgID="Mbnd.mbnd" ShapeID="_x0000_i1030" DrawAspect="Content" ObjectID="_1826021475" r:id="rId16"/>
        </w:object>
      </w:r>
    </w:p>
    <w:p w14:paraId="3E6729EB" w14:textId="2CDF9970" w:rsidR="007169DA" w:rsidRDefault="007169DA">
      <w:r>
        <w:t>Les obligations sont elles bon- marché ?</w:t>
      </w:r>
    </w:p>
    <w:p w14:paraId="422D50F4" w14:textId="49D1B105" w:rsidR="00A4595A" w:rsidRDefault="007169DA">
      <w:r>
        <w:lastRenderedPageBreak/>
        <w:t>La reponse est non et le dollar a cessé d’être l’étalon de valeur et le placement sans risque.</w:t>
      </w:r>
    </w:p>
    <w:p w14:paraId="69FFC309" w14:textId="563B76CA" w:rsidR="00A4595A" w:rsidRDefault="000D0D9C">
      <w:r>
        <w:object w:dxaOrig="10501" w:dyaOrig="7461" w14:anchorId="05E3047C">
          <v:shape id="_x0000_i1051" type="#_x0000_t75" style="width:467.8pt;height:272.2pt" o:ole="">
            <v:imagedata r:id="rId17" o:title=""/>
          </v:shape>
          <o:OLEObject Type="Embed" ProgID="Mbnd.mbnd" ShapeID="_x0000_i1051" DrawAspect="Content" ObjectID="_1826021476" r:id="rId18"/>
        </w:object>
      </w:r>
    </w:p>
    <w:p w14:paraId="12E85A15" w14:textId="1EB66A67" w:rsidR="008A03FC" w:rsidRDefault="0086140F">
      <w:r>
        <w:object w:dxaOrig="9961" w:dyaOrig="7461" w14:anchorId="7A1463CD">
          <v:shape id="_x0000_i1032" type="#_x0000_t75" style="width:467.8pt;height:313.8pt" o:ole="">
            <v:imagedata r:id="rId19" o:title=""/>
          </v:shape>
          <o:OLEObject Type="Embed" ProgID="Mbnd.mbnd" ShapeID="_x0000_i1032" DrawAspect="Content" ObjectID="_1826021477" r:id="rId20"/>
        </w:object>
      </w:r>
    </w:p>
    <w:p w14:paraId="7D021E14" w14:textId="77777777" w:rsidR="00F80739" w:rsidRDefault="00F80739"/>
    <w:p w14:paraId="474BB625" w14:textId="4ADA901F" w:rsidR="007169DA" w:rsidRDefault="007169DA">
      <w:r>
        <w:lastRenderedPageBreak/>
        <w:t xml:space="preserve">Et les déficits autant extérieurs qu’interieurs vont continuer a exploser a la hausse, ce qui veut dire que l’offre d’obligations US ne va cesser de continuer a monter. </w:t>
      </w:r>
    </w:p>
    <w:p w14:paraId="6A0ACD95" w14:textId="3D19C89C" w:rsidR="00F80739" w:rsidRDefault="00E325CA">
      <w:r>
        <w:object w:dxaOrig="9961" w:dyaOrig="7461" w14:anchorId="48307F0A">
          <v:shape id="_x0000_i1035" type="#_x0000_t75" style="width:467.8pt;height:350.45pt" o:ole="">
            <v:imagedata r:id="rId21" o:title=""/>
          </v:shape>
          <o:OLEObject Type="Embed" ProgID="Mbnd.mbnd" ShapeID="_x0000_i1035" DrawAspect="Content" ObjectID="_1826021478" r:id="rId22"/>
        </w:object>
      </w:r>
    </w:p>
    <w:p w14:paraId="191A422D" w14:textId="539E82C1" w:rsidR="007169DA" w:rsidRDefault="007169DA">
      <w:r>
        <w:t>Conclusion</w:t>
      </w:r>
    </w:p>
    <w:p w14:paraId="0D2A0FBE" w14:textId="4B6A3953" w:rsidR="000D0D9C" w:rsidRDefault="007169DA">
      <w:r>
        <w:t xml:space="preserve"> La seule chose qui empêche les taux longs de monter c’est le cout de l’énergie</w:t>
      </w:r>
      <w:r w:rsidR="000D0D9C">
        <w:t xml:space="preserve"> et c’est le cas pour la plupart des pays de l’OCDE.</w:t>
      </w:r>
    </w:p>
    <w:p w14:paraId="7AD955F5" w14:textId="3B615515" w:rsidR="000D0D9C" w:rsidRDefault="000D0D9C">
      <w:r>
        <w:t>Les seuls marchés obligataires qui sont achetables aujourd’hui sont :</w:t>
      </w:r>
    </w:p>
    <w:p w14:paraId="4817786F" w14:textId="29D14AEB" w:rsidR="000D0D9C" w:rsidRDefault="000D0D9C" w:rsidP="000D0D9C">
      <w:pPr>
        <w:pStyle w:val="Paragraphedeliste"/>
        <w:numPr>
          <w:ilvl w:val="0"/>
          <w:numId w:val="1"/>
        </w:numPr>
      </w:pPr>
      <w:r>
        <w:t>Les marchés scandinaves</w:t>
      </w:r>
    </w:p>
    <w:p w14:paraId="32B8E1D9" w14:textId="779C96F7" w:rsidR="000D0D9C" w:rsidRDefault="000D0D9C" w:rsidP="000D0D9C">
      <w:pPr>
        <w:pStyle w:val="Paragraphedeliste"/>
        <w:numPr>
          <w:ilvl w:val="0"/>
          <w:numId w:val="1"/>
        </w:numPr>
      </w:pPr>
      <w:r>
        <w:t>Certains marchés d’Amérique Latine (Brésil, Pérou, Colombie, Mexique, Argentine)</w:t>
      </w:r>
    </w:p>
    <w:p w14:paraId="3DB74D04" w14:textId="66BB4092" w:rsidR="000D0D9C" w:rsidRDefault="000D0D9C" w:rsidP="000D0D9C">
      <w:pPr>
        <w:pStyle w:val="Paragraphedeliste"/>
        <w:numPr>
          <w:ilvl w:val="0"/>
          <w:numId w:val="1"/>
        </w:numPr>
      </w:pPr>
      <w:r>
        <w:t xml:space="preserve"> Certains marchées d’Asie ex-Japon</w:t>
      </w:r>
    </w:p>
    <w:p w14:paraId="5AA4E74F" w14:textId="39BBF601" w:rsidR="007169DA" w:rsidRDefault="007169DA">
      <w:r>
        <w:t xml:space="preserve"> </w:t>
      </w:r>
    </w:p>
    <w:sectPr w:rsidR="00716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B74C9"/>
    <w:multiLevelType w:val="hybridMultilevel"/>
    <w:tmpl w:val="281C4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737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FC"/>
    <w:rsid w:val="00033386"/>
    <w:rsid w:val="000D0D9C"/>
    <w:rsid w:val="001E29E1"/>
    <w:rsid w:val="002030B4"/>
    <w:rsid w:val="002D69E5"/>
    <w:rsid w:val="002E6A51"/>
    <w:rsid w:val="00390044"/>
    <w:rsid w:val="003B1A83"/>
    <w:rsid w:val="004E3070"/>
    <w:rsid w:val="007169DA"/>
    <w:rsid w:val="0086140F"/>
    <w:rsid w:val="008A03FC"/>
    <w:rsid w:val="008A5C50"/>
    <w:rsid w:val="00A4595A"/>
    <w:rsid w:val="00CD04F6"/>
    <w:rsid w:val="00E325CA"/>
    <w:rsid w:val="00F80739"/>
    <w:rsid w:val="00F93861"/>
    <w:rsid w:val="00F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93EC3"/>
  <w15:chartTrackingRefBased/>
  <w15:docId w15:val="{2114D812-61C9-4F8B-90C5-6298592A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A0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A0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A03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A03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A03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A03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A03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A03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03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03F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8A03F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A03FC"/>
    <w:rPr>
      <w:rFonts w:eastAsiaTheme="majorEastAsia" w:cstheme="majorBidi"/>
      <w:color w:val="0F4761" w:themeColor="accent1" w:themeShade="BF"/>
      <w:sz w:val="28"/>
      <w:szCs w:val="28"/>
      <w:lang w:val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8A03FC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8A03FC"/>
    <w:rPr>
      <w:rFonts w:eastAsiaTheme="majorEastAsia" w:cstheme="majorBidi"/>
      <w:color w:val="0F4761" w:themeColor="accent1" w:themeShade="BF"/>
      <w:lang w:val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8A03FC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8A03FC"/>
    <w:rPr>
      <w:rFonts w:eastAsiaTheme="majorEastAsia" w:cstheme="majorBidi"/>
      <w:color w:val="595959" w:themeColor="text1" w:themeTint="A6"/>
      <w:lang w:val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8A03FC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8A03FC"/>
    <w:rPr>
      <w:rFonts w:eastAsiaTheme="majorEastAsia" w:cstheme="majorBidi"/>
      <w:color w:val="272727" w:themeColor="text1" w:themeTint="D8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8A0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A03FC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A03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A03FC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8A03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A03FC"/>
    <w:rPr>
      <w:i/>
      <w:iCs/>
      <w:color w:val="404040" w:themeColor="text1" w:themeTint="BF"/>
      <w:lang w:val="fr-FR"/>
    </w:rPr>
  </w:style>
  <w:style w:type="paragraph" w:styleId="Paragraphedeliste">
    <w:name w:val="List Paragraph"/>
    <w:basedOn w:val="Normal"/>
    <w:uiPriority w:val="34"/>
    <w:qFormat/>
    <w:rsid w:val="008A03F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A03F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03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03FC"/>
    <w:rPr>
      <w:i/>
      <w:iCs/>
      <w:color w:val="0F4761" w:themeColor="accent1" w:themeShade="BF"/>
      <w:lang w:val="fr-FR"/>
    </w:rPr>
  </w:style>
  <w:style w:type="character" w:styleId="Rfrenceintense">
    <w:name w:val="Intense Reference"/>
    <w:basedOn w:val="Policepardfaut"/>
    <w:uiPriority w:val="32"/>
    <w:qFormat/>
    <w:rsid w:val="008A03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Gave</dc:creator>
  <cp:keywords/>
  <dc:description/>
  <cp:lastModifiedBy>Charles Gave</cp:lastModifiedBy>
  <cp:revision>2</cp:revision>
  <dcterms:created xsi:type="dcterms:W3CDTF">2025-11-30T14:24:00Z</dcterms:created>
  <dcterms:modified xsi:type="dcterms:W3CDTF">2025-11-30T14:24:00Z</dcterms:modified>
</cp:coreProperties>
</file>